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B53322" w14:textId="11052166" w:rsidR="00F27F8F" w:rsidRPr="00B266B0" w:rsidRDefault="00F27F8F" w:rsidP="00F27F8F">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87135E">
        <w:rPr>
          <w:bCs/>
          <w:noProof w:val="0"/>
          <w:sz w:val="24"/>
          <w:szCs w:val="24"/>
        </w:rPr>
        <w:t>0</w:t>
      </w:r>
      <w:r w:rsidR="00EA7750">
        <w:rPr>
          <w:bCs/>
          <w:noProof w:val="0"/>
          <w:sz w:val="24"/>
          <w:szCs w:val="24"/>
        </w:rPr>
        <w:t>4280</w:t>
      </w:r>
    </w:p>
    <w:p w14:paraId="231362B2" w14:textId="28776E1A" w:rsidR="00CD4C7B" w:rsidRPr="00465587" w:rsidRDefault="00F27F8F" w:rsidP="00F27F8F">
      <w:pPr>
        <w:pStyle w:val="Header"/>
        <w:tabs>
          <w:tab w:val="right" w:pos="9639"/>
        </w:tabs>
        <w:rPr>
          <w:bCs/>
          <w:sz w:val="24"/>
          <w:szCs w:val="24"/>
          <w:lang w:eastAsia="zh-CN"/>
        </w:rPr>
      </w:pPr>
      <w:r>
        <w:rPr>
          <w:bCs/>
          <w:sz w:val="24"/>
          <w:szCs w:val="24"/>
          <w:lang w:eastAsia="zh-CN"/>
        </w:rPr>
        <w:t>Xian</w:t>
      </w:r>
      <w:r w:rsidRPr="00465587">
        <w:rPr>
          <w:bCs/>
          <w:sz w:val="24"/>
          <w:szCs w:val="24"/>
          <w:lang w:eastAsia="zh-CN"/>
        </w:rPr>
        <w:t xml:space="preserve">, </w:t>
      </w:r>
      <w:r>
        <w:rPr>
          <w:bCs/>
          <w:sz w:val="24"/>
          <w:szCs w:val="24"/>
          <w:lang w:eastAsia="zh-CN"/>
        </w:rPr>
        <w:t>China</w:t>
      </w:r>
      <w:r w:rsidRPr="00465587">
        <w:rPr>
          <w:bCs/>
          <w:sz w:val="24"/>
          <w:szCs w:val="24"/>
          <w:lang w:eastAsia="zh-CN"/>
        </w:rPr>
        <w:t xml:space="preserve">, </w:t>
      </w:r>
      <w:r>
        <w:rPr>
          <w:rFonts w:cs="Arial"/>
          <w:bCs/>
          <w:sz w:val="22"/>
        </w:rPr>
        <w:t>08 – 12 April</w:t>
      </w:r>
      <w:r w:rsidRPr="004D1605">
        <w:rPr>
          <w:rFonts w:cs="Arial"/>
          <w:bCs/>
          <w:sz w:val="22"/>
        </w:rPr>
        <w:t xml:space="preserve"> 201</w:t>
      </w:r>
      <w:r>
        <w:rPr>
          <w:rFonts w:cs="Arial"/>
          <w:bCs/>
          <w:sz w:val="22"/>
        </w:rPr>
        <w:t>9</w:t>
      </w:r>
      <w:r w:rsidR="00364B41">
        <w:rPr>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65FA1F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C1A54" w:rsidRPr="0097431F">
        <w:rPr>
          <w:rFonts w:cs="Arial"/>
          <w:b/>
          <w:bCs/>
          <w:sz w:val="24"/>
          <w:lang w:eastAsia="ja-JP"/>
        </w:rPr>
        <w:t>12.3.3</w:t>
      </w:r>
      <w:r w:rsidR="00563573">
        <w:rPr>
          <w:rFonts w:cs="Arial"/>
          <w:b/>
          <w:bCs/>
          <w:sz w:val="24"/>
          <w:lang w:eastAsia="ja-JP"/>
        </w:rPr>
        <w:t>.1</w:t>
      </w:r>
      <w:bookmarkStart w:id="0" w:name="_GoBack"/>
      <w:bookmarkEnd w:id="0"/>
    </w:p>
    <w:p w14:paraId="6A1BC0C1" w14:textId="061F392C" w:rsidR="00CD4C7B" w:rsidRPr="00A35009"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r w:rsidR="00763EA4">
        <w:rPr>
          <w:rFonts w:ascii="Arial" w:hAnsi="Arial" w:cs="Arial"/>
          <w:b/>
          <w:bCs/>
          <w:sz w:val="24"/>
        </w:rPr>
        <w:t>,</w:t>
      </w:r>
      <w:r w:rsidR="007D075D">
        <w:rPr>
          <w:rFonts w:ascii="Arial" w:hAnsi="Arial" w:cs="Arial"/>
          <w:b/>
          <w:bCs/>
          <w:sz w:val="24"/>
        </w:rPr>
        <w:t xml:space="preserve"> </w:t>
      </w:r>
      <w:r w:rsidR="007D075D" w:rsidRPr="007D075D">
        <w:rPr>
          <w:rFonts w:ascii="Arial" w:hAnsi="Arial" w:cs="Arial"/>
          <w:b/>
          <w:bCs/>
          <w:sz w:val="24"/>
        </w:rPr>
        <w:t>Huawei, HiSilicon</w:t>
      </w:r>
      <w:r w:rsidR="007D075D">
        <w:rPr>
          <w:rFonts w:ascii="Arial" w:hAnsi="Arial" w:cs="Arial"/>
          <w:b/>
          <w:bCs/>
          <w:sz w:val="24"/>
        </w:rPr>
        <w:t xml:space="preserve">, Ericsson, CATT, </w:t>
      </w:r>
      <w:r w:rsidR="007D075D" w:rsidRPr="007D075D">
        <w:rPr>
          <w:rFonts w:ascii="Arial" w:hAnsi="Arial" w:cs="Arial"/>
          <w:b/>
          <w:bCs/>
          <w:sz w:val="24"/>
        </w:rPr>
        <w:t>ZTE Corporation, Sanechips</w:t>
      </w:r>
      <w:r w:rsidR="0057023F">
        <w:rPr>
          <w:rFonts w:ascii="Arial" w:hAnsi="Arial" w:cs="Arial"/>
          <w:b/>
          <w:bCs/>
          <w:sz w:val="24"/>
        </w:rPr>
        <w:t>, NEC</w:t>
      </w:r>
      <w:r w:rsidR="001A039B">
        <w:rPr>
          <w:rFonts w:ascii="Arial" w:hAnsi="Arial" w:cs="Arial"/>
          <w:b/>
          <w:bCs/>
          <w:sz w:val="24"/>
        </w:rPr>
        <w:t>, China Telecom, Charter Communications</w:t>
      </w:r>
    </w:p>
    <w:p w14:paraId="45BE90BE" w14:textId="2A102DA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912B2">
        <w:rPr>
          <w:rFonts w:ascii="Arial" w:hAnsi="Arial" w:cs="Arial"/>
          <w:b/>
          <w:bCs/>
          <w:sz w:val="24"/>
        </w:rPr>
        <w:t xml:space="preserve">Explicit </w:t>
      </w:r>
      <w:r w:rsidR="009647C1">
        <w:rPr>
          <w:rFonts w:ascii="Arial" w:hAnsi="Arial" w:cs="Arial"/>
          <w:b/>
          <w:bCs/>
          <w:sz w:val="24"/>
        </w:rPr>
        <w:t>deconfiguration of</w:t>
      </w:r>
      <w:r w:rsidR="003C2C1C">
        <w:rPr>
          <w:rFonts w:ascii="Arial" w:hAnsi="Arial" w:cs="Arial"/>
          <w:b/>
          <w:bCs/>
          <w:sz w:val="24"/>
        </w:rPr>
        <w:t xml:space="preserve"> </w:t>
      </w:r>
      <w:r w:rsidR="004912B2">
        <w:rPr>
          <w:rFonts w:ascii="Arial" w:hAnsi="Arial" w:cs="Arial"/>
          <w:b/>
          <w:bCs/>
          <w:sz w:val="24"/>
        </w:rPr>
        <w:t>CHO command</w:t>
      </w:r>
    </w:p>
    <w:p w14:paraId="3AC3A0B1" w14:textId="7A8196F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2C1A54" w:rsidRPr="002C1A54">
        <w:rPr>
          <w:rFonts w:ascii="Arial" w:hAnsi="Arial" w:cs="Arial"/>
          <w:b/>
          <w:bCs/>
          <w:sz w:val="24"/>
        </w:rPr>
        <w:t>LTE_feMob</w:t>
      </w:r>
      <w:proofErr w:type="spellEnd"/>
      <w:r w:rsidR="002C1A54" w:rsidRPr="002C1A54">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2C1A54">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055A212" w14:textId="77275CF9" w:rsidR="00A81A0B" w:rsidRDefault="003C2C1C" w:rsidP="00D7515A">
      <w:r>
        <w:t>A</w:t>
      </w:r>
      <w:r w:rsidR="00B92C45">
        <w:t xml:space="preserve">t </w:t>
      </w:r>
      <w:r>
        <w:t>RAN2</w:t>
      </w:r>
      <w:r>
        <w:rPr>
          <w:lang w:val="pl-PL"/>
        </w:rPr>
        <w:t>#105</w:t>
      </w:r>
      <w:r w:rsidR="00B92C45">
        <w:t xml:space="preserve"> the following has been agreed with respect to Conditional HO in E-UTRAN</w:t>
      </w:r>
      <w:r w:rsidR="002F226E">
        <w:t xml:space="preserve"> </w:t>
      </w:r>
      <w:r w:rsidR="002F226E">
        <w:fldChar w:fldCharType="begin"/>
      </w:r>
      <w:r w:rsidR="002F226E">
        <w:instrText xml:space="preserve"> REF _Ref3292659 \r \h </w:instrText>
      </w:r>
      <w:r w:rsidR="002F226E">
        <w:fldChar w:fldCharType="separate"/>
      </w:r>
      <w:r w:rsidR="002F226E">
        <w:t>[1]</w:t>
      </w:r>
      <w:r w:rsidR="002F226E">
        <w:fldChar w:fldCharType="end"/>
      </w:r>
      <w:r w:rsidR="00D7515A">
        <w:t>:</w:t>
      </w:r>
    </w:p>
    <w:tbl>
      <w:tblPr>
        <w:tblStyle w:val="TableGrid"/>
        <w:tblW w:w="0" w:type="auto"/>
        <w:tblLook w:val="04A0" w:firstRow="1" w:lastRow="0" w:firstColumn="1" w:lastColumn="0" w:noHBand="0" w:noVBand="1"/>
      </w:tblPr>
      <w:tblGrid>
        <w:gridCol w:w="9631"/>
      </w:tblGrid>
      <w:tr w:rsidR="00A81A0B" w14:paraId="2B8ADD40" w14:textId="77777777" w:rsidTr="00A81A0B">
        <w:tc>
          <w:tcPr>
            <w:tcW w:w="9631" w:type="dxa"/>
          </w:tcPr>
          <w:p w14:paraId="7A0C8D0C" w14:textId="77777777" w:rsidR="002F226E" w:rsidRPr="002F226E" w:rsidRDefault="002F226E" w:rsidP="002F226E">
            <w:pPr>
              <w:rPr>
                <w:rFonts w:ascii="Arial" w:hAnsi="Arial" w:cs="Arial"/>
              </w:rPr>
            </w:pPr>
            <w:r w:rsidRPr="002F226E">
              <w:rPr>
                <w:rFonts w:ascii="Arial" w:hAnsi="Arial" w:cs="Arial"/>
              </w:rPr>
              <w:t>Agreements</w:t>
            </w:r>
          </w:p>
          <w:p w14:paraId="4E8BEF9B" w14:textId="77777777" w:rsidR="002F226E" w:rsidRPr="002F226E" w:rsidRDefault="002F226E" w:rsidP="002F226E">
            <w:pPr>
              <w:rPr>
                <w:rFonts w:ascii="Arial" w:hAnsi="Arial" w:cs="Arial"/>
              </w:rPr>
            </w:pPr>
            <w:r w:rsidRPr="002F226E">
              <w:rPr>
                <w:rFonts w:ascii="Arial" w:hAnsi="Arial" w:cs="Arial"/>
              </w:rPr>
              <w:t>1: The baseline operation for E-UTRAN Conditional HO procedure assumes HO command type of message contains HO triggering condition(s) and dedicated RRC configuration(s). UE accesses the prepared target when the relevant condition is met.</w:t>
            </w:r>
          </w:p>
          <w:p w14:paraId="6973FD06" w14:textId="77777777" w:rsidR="002F226E" w:rsidRPr="002F226E" w:rsidRDefault="002F226E" w:rsidP="002F226E">
            <w:pPr>
              <w:rPr>
                <w:rFonts w:ascii="Arial" w:hAnsi="Arial" w:cs="Arial"/>
              </w:rPr>
            </w:pPr>
            <w:r w:rsidRPr="002F226E">
              <w:rPr>
                <w:rFonts w:ascii="Arial" w:hAnsi="Arial" w:cs="Arial"/>
              </w:rPr>
              <w:t xml:space="preserve">3: The baseline operation for E-UTRAN Conditional HO assumes the source </w:t>
            </w:r>
            <w:proofErr w:type="spellStart"/>
            <w:r w:rsidRPr="002F226E">
              <w:rPr>
                <w:rFonts w:ascii="Arial" w:hAnsi="Arial" w:cs="Arial"/>
              </w:rPr>
              <w:t>eNB</w:t>
            </w:r>
            <w:proofErr w:type="spellEnd"/>
            <w:r w:rsidRPr="002F226E">
              <w:rPr>
                <w:rFonts w:ascii="Arial" w:hAnsi="Arial" w:cs="Arial"/>
              </w:rPr>
              <w:t xml:space="preserve"> remains responsible for RRC until UE successfully sends RRC Connection Reconfiguration Complete message to target </w:t>
            </w:r>
            <w:proofErr w:type="spellStart"/>
            <w:r w:rsidRPr="002F226E">
              <w:rPr>
                <w:rFonts w:ascii="Arial" w:hAnsi="Arial" w:cs="Arial"/>
              </w:rPr>
              <w:t>eNB</w:t>
            </w:r>
            <w:proofErr w:type="spellEnd"/>
            <w:r w:rsidRPr="002F226E">
              <w:rPr>
                <w:rFonts w:ascii="Arial" w:hAnsi="Arial" w:cs="Arial"/>
              </w:rPr>
              <w:t xml:space="preserve">. </w:t>
            </w:r>
          </w:p>
          <w:p w14:paraId="21BEC8B7" w14:textId="77777777" w:rsidR="002F226E" w:rsidRPr="002F226E" w:rsidRDefault="002F226E" w:rsidP="002F226E">
            <w:pPr>
              <w:rPr>
                <w:rFonts w:ascii="Arial" w:hAnsi="Arial" w:cs="Arial"/>
              </w:rPr>
            </w:pPr>
            <w:r w:rsidRPr="002F226E">
              <w:rPr>
                <w:rFonts w:ascii="Arial" w:hAnsi="Arial" w:cs="Arial"/>
              </w:rP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14:paraId="353ACB02" w14:textId="2F26DFC9" w:rsidR="00A81A0B" w:rsidRDefault="002F226E" w:rsidP="002F226E">
            <w:r w:rsidRPr="002F226E">
              <w:rPr>
                <w:rFonts w:ascii="Arial" w:hAnsi="Arial" w:cs="Arial"/>
              </w:rPr>
              <w:t>5: RAN2 will inform the Conditional HO assumptions (including the baseline operation) to RAN3 via LS at RAN#105bis, requesting RAN3 to kindly work on the CHO scheme aspects matching their expertise (e.g. data forwarding).</w:t>
            </w:r>
          </w:p>
        </w:tc>
      </w:tr>
    </w:tbl>
    <w:p w14:paraId="2B546A58" w14:textId="60807E78" w:rsidR="006F0CD8" w:rsidRDefault="00B40349" w:rsidP="00CD4C7B">
      <w:r>
        <w:br/>
      </w:r>
      <w:r w:rsidR="002F226E">
        <w:t xml:space="preserve">However, there was no consensus in RAN2 </w:t>
      </w:r>
      <w:r w:rsidR="006F0CD8">
        <w:t xml:space="preserve">on supporting the following proposal from </w:t>
      </w:r>
      <w:r w:rsidR="006F0CD8">
        <w:fldChar w:fldCharType="begin"/>
      </w:r>
      <w:r w:rsidR="006F0CD8">
        <w:instrText xml:space="preserve"> REF _Ref3292762 \r \h </w:instrText>
      </w:r>
      <w:r w:rsidR="006F0CD8">
        <w:fldChar w:fldCharType="separate"/>
      </w:r>
      <w:r w:rsidR="006F0CD8">
        <w:t>[2]</w:t>
      </w:r>
      <w:r w:rsidR="006F0CD8">
        <w:fldChar w:fldCharType="end"/>
      </w:r>
      <w:r w:rsidR="006F0CD8">
        <w:t>:</w:t>
      </w:r>
    </w:p>
    <w:tbl>
      <w:tblPr>
        <w:tblStyle w:val="TableGrid"/>
        <w:tblW w:w="0" w:type="auto"/>
        <w:tblLook w:val="04A0" w:firstRow="1" w:lastRow="0" w:firstColumn="1" w:lastColumn="0" w:noHBand="0" w:noVBand="1"/>
      </w:tblPr>
      <w:tblGrid>
        <w:gridCol w:w="9631"/>
      </w:tblGrid>
      <w:tr w:rsidR="006F0CD8" w14:paraId="50389198" w14:textId="77777777" w:rsidTr="006F0CD8">
        <w:tc>
          <w:tcPr>
            <w:tcW w:w="9631" w:type="dxa"/>
          </w:tcPr>
          <w:p w14:paraId="4D3A4A13" w14:textId="651A39E6" w:rsidR="006F0CD8" w:rsidRDefault="00CC63DC" w:rsidP="00CD4C7B">
            <w:r>
              <w:rPr>
                <w:b/>
              </w:rPr>
              <w:t>Proposal</w:t>
            </w:r>
            <w:r w:rsidRPr="00B84DB2">
              <w:rPr>
                <w:b/>
              </w:rPr>
              <w:t xml:space="preserve"> </w:t>
            </w:r>
            <w:r>
              <w:rPr>
                <w:b/>
              </w:rPr>
              <w:t>2</w:t>
            </w:r>
            <w:r w:rsidRPr="00B84DB2">
              <w:rPr>
                <w:b/>
              </w:rPr>
              <w:t>:</w:t>
            </w:r>
            <w:r>
              <w:t xml:space="preserve"> The baseline operation for E-UTRAN Conditional HO procedure assumes explicit deconfiguration of the prepared CHO target cell(s), i.e. the source cell can release the previously provided CHO command type of message using RRC reconfiguration towards UE. Implicit deconfiguration (e.g. timer controlling the validity of preparation) should be further studied.</w:t>
            </w:r>
          </w:p>
        </w:tc>
      </w:tr>
    </w:tbl>
    <w:p w14:paraId="08E54CD3" w14:textId="1E3DADDF" w:rsidR="00CC63DC" w:rsidRDefault="006F0CD8" w:rsidP="002B0D15">
      <w:pPr>
        <w:jc w:val="both"/>
      </w:pPr>
      <w:r>
        <w:br/>
      </w:r>
      <w:r w:rsidR="00B40349">
        <w:t>Th</w:t>
      </w:r>
      <w:r w:rsidR="00CC63DC">
        <w:t xml:space="preserve">e intention of this paper is to further </w:t>
      </w:r>
      <w:r w:rsidR="004912B2">
        <w:t xml:space="preserve">clarify why </w:t>
      </w:r>
      <w:r w:rsidR="00CC63DC">
        <w:t xml:space="preserve">explicit deconfiguration of </w:t>
      </w:r>
      <w:r w:rsidR="004912B2">
        <w:t>CHO command</w:t>
      </w:r>
      <w:r w:rsidR="006E5560">
        <w:t>(</w:t>
      </w:r>
      <w:r w:rsidR="004912B2">
        <w:t>s</w:t>
      </w:r>
      <w:r w:rsidR="006E5560">
        <w:t>)</w:t>
      </w:r>
      <w:r w:rsidR="004912B2">
        <w:t xml:space="preserve"> </w:t>
      </w:r>
      <w:r w:rsidR="00CC63DC">
        <w:t>initiated by the network (</w:t>
      </w:r>
      <w:r w:rsidR="002E5A39">
        <w:t xml:space="preserve">i.e. </w:t>
      </w:r>
      <w:r w:rsidR="00CC63DC">
        <w:t xml:space="preserve">source </w:t>
      </w:r>
      <w:proofErr w:type="spellStart"/>
      <w:r w:rsidR="00CC63DC">
        <w:t>eNB</w:t>
      </w:r>
      <w:proofErr w:type="spellEnd"/>
      <w:r w:rsidR="00CC63DC">
        <w:t>)</w:t>
      </w:r>
      <w:r w:rsidR="004912B2">
        <w:t xml:space="preserve"> should be supported</w:t>
      </w:r>
      <w:r w:rsidR="00CC63DC">
        <w:t>.</w:t>
      </w:r>
    </w:p>
    <w:p w14:paraId="5037759B" w14:textId="3F440B1E" w:rsidR="001D7071" w:rsidRPr="009647C1" w:rsidRDefault="00CD4C7B" w:rsidP="009647C1">
      <w:pPr>
        <w:pStyle w:val="Heading1"/>
      </w:pPr>
      <w:r w:rsidRPr="006E13D1">
        <w:t>2</w:t>
      </w:r>
      <w:r w:rsidRPr="006E13D1">
        <w:tab/>
      </w:r>
      <w:r w:rsidR="004912B2">
        <w:t>Explicit deconfiguration of CHO command</w:t>
      </w:r>
    </w:p>
    <w:p w14:paraId="44E6A227" w14:textId="39FB9607" w:rsidR="000A7EA4" w:rsidRDefault="008B33A8" w:rsidP="002B0D15">
      <w:pPr>
        <w:jc w:val="both"/>
      </w:pPr>
      <w:r>
        <w:t xml:space="preserve">The explicit versus implicit deconfiguration has been already elaborated in </w:t>
      </w:r>
      <w:r w:rsidR="00551398">
        <w:fldChar w:fldCharType="begin"/>
      </w:r>
      <w:r w:rsidR="00551398">
        <w:instrText xml:space="preserve"> REF _Ref3293143 \r \h </w:instrText>
      </w:r>
      <w:r w:rsidR="002B0D15">
        <w:instrText xml:space="preserve"> \* MERGEFORMAT </w:instrText>
      </w:r>
      <w:r w:rsidR="00551398">
        <w:fldChar w:fldCharType="separate"/>
      </w:r>
      <w:r w:rsidR="00551398">
        <w:t>[3]</w:t>
      </w:r>
      <w:r w:rsidR="00551398">
        <w:fldChar w:fldCharType="end"/>
      </w:r>
      <w:r w:rsidR="00B920F0">
        <w:t xml:space="preserve"> and discussed at </w:t>
      </w:r>
      <w:r w:rsidR="00B920F0" w:rsidRPr="00B920F0">
        <w:t>RAN2#105</w:t>
      </w:r>
      <w:r w:rsidR="00B920F0">
        <w:t xml:space="preserve">. As argued in </w:t>
      </w:r>
      <w:r w:rsidR="00B920F0">
        <w:fldChar w:fldCharType="begin"/>
      </w:r>
      <w:r w:rsidR="00B920F0">
        <w:instrText xml:space="preserve"> REF _Ref3293143 \r \h </w:instrText>
      </w:r>
      <w:r w:rsidR="002B0D15">
        <w:instrText xml:space="preserve"> \* MERGEFORMAT </w:instrText>
      </w:r>
      <w:r w:rsidR="00B920F0">
        <w:fldChar w:fldCharType="separate"/>
      </w:r>
      <w:r w:rsidR="00B920F0">
        <w:t>[3]</w:t>
      </w:r>
      <w:r w:rsidR="00B920F0">
        <w:fldChar w:fldCharType="end"/>
      </w:r>
      <w:r w:rsidR="00B920F0">
        <w:t xml:space="preserve">, the </w:t>
      </w:r>
      <w:r w:rsidR="009F6573">
        <w:t xml:space="preserve">early target preparation in CHO, and </w:t>
      </w:r>
      <w:proofErr w:type="gramStart"/>
      <w:r w:rsidR="009F6573">
        <w:t xml:space="preserve">in particular </w:t>
      </w:r>
      <w:r w:rsidR="00B920F0">
        <w:t>the</w:t>
      </w:r>
      <w:proofErr w:type="gramEnd"/>
      <w:r w:rsidR="00B920F0">
        <w:t xml:space="preserve"> existence of multiple candidate target cells for CHO increase the chance</w:t>
      </w:r>
      <w:r w:rsidR="0092503A">
        <w:t xml:space="preserve"> that</w:t>
      </w:r>
      <w:r w:rsidR="00B920F0">
        <w:t xml:space="preserve"> one or more than one</w:t>
      </w:r>
      <w:r w:rsidR="0092503A">
        <w:t xml:space="preserve"> cell</w:t>
      </w:r>
      <w:r w:rsidR="00B920F0">
        <w:t xml:space="preserve"> become</w:t>
      </w:r>
      <w:r w:rsidR="0092503A">
        <w:t>s</w:t>
      </w:r>
      <w:r w:rsidR="00B920F0">
        <w:t xml:space="preserve"> irrelevant. If the </w:t>
      </w:r>
      <w:proofErr w:type="spellStart"/>
      <w:r w:rsidR="00B920F0">
        <w:t>eNB</w:t>
      </w:r>
      <w:proofErr w:type="spellEnd"/>
      <w:r w:rsidR="00B920F0">
        <w:t xml:space="preserve"> obtains such </w:t>
      </w:r>
      <w:r w:rsidR="0092503A">
        <w:t xml:space="preserve">knowledge, e.g. by means of measurement report, it can react and remove the preparation (i.e. by sending such update to the UE and possibly removing the preparation on the network side). </w:t>
      </w:r>
    </w:p>
    <w:p w14:paraId="6722C306" w14:textId="5D6FCAA3" w:rsidR="0092503A" w:rsidRDefault="0092503A" w:rsidP="002B0D15">
      <w:pPr>
        <w:jc w:val="both"/>
        <w:rPr>
          <w:b/>
        </w:rPr>
      </w:pPr>
      <w:r>
        <w:rPr>
          <w:b/>
        </w:rPr>
        <w:t xml:space="preserve">Observation 1: </w:t>
      </w:r>
      <w:r w:rsidR="00A536EF" w:rsidRPr="00B37677">
        <w:t>As E-UTRAN CHO supports multiple candidate target cells, it is likely one or multiple of the prepared candidate cells become irrelevant for accessing while the UE is still in the source cell.</w:t>
      </w:r>
      <w:r w:rsidR="00A536EF">
        <w:rPr>
          <w:b/>
        </w:rPr>
        <w:t xml:space="preserve"> </w:t>
      </w:r>
    </w:p>
    <w:p w14:paraId="24BDB558" w14:textId="5861ADBA" w:rsidR="0096327D" w:rsidRDefault="0096327D" w:rsidP="002B0D15">
      <w:pPr>
        <w:jc w:val="both"/>
      </w:pPr>
      <w:r>
        <w:lastRenderedPageBreak/>
        <w:t xml:space="preserve">From network perspective, it is </w:t>
      </w:r>
      <w:r w:rsidR="0097431F">
        <w:t xml:space="preserve">likely </w:t>
      </w:r>
      <w:r>
        <w:t>the source</w:t>
      </w:r>
      <w:r w:rsidR="0097431F">
        <w:t xml:space="preserve"> cell</w:t>
      </w:r>
      <w:r>
        <w:t xml:space="preserve"> that determines the C</w:t>
      </w:r>
      <w:r w:rsidR="00F63791">
        <w:t>HO</w:t>
      </w:r>
      <w:r>
        <w:t xml:space="preserve"> preparation, but it is the </w:t>
      </w:r>
      <w:r w:rsidR="0097431F">
        <w:t xml:space="preserve">candidate </w:t>
      </w:r>
      <w:r>
        <w:t xml:space="preserve">target cells which can decide whether to retain the UE context for CHO. It is conceivable that a </w:t>
      </w:r>
      <w:r w:rsidR="0097431F">
        <w:t xml:space="preserve">candidate </w:t>
      </w:r>
      <w:r>
        <w:t xml:space="preserve">target cell first accepts UE as CHO candidate but later decides to revoke the CHO </w:t>
      </w:r>
      <w:r w:rsidR="004912B2">
        <w:t>command</w:t>
      </w:r>
      <w:r>
        <w:t xml:space="preserve"> after </w:t>
      </w:r>
      <w:r w:rsidR="004912B2">
        <w:t>some (</w:t>
      </w:r>
      <w:r>
        <w:t>indeterminate</w:t>
      </w:r>
      <w:r w:rsidR="004912B2">
        <w:t>)</w:t>
      </w:r>
      <w:r>
        <w:t xml:space="preserve"> time</w:t>
      </w:r>
      <w:r w:rsidR="004912B2">
        <w:t xml:space="preserve"> (i.e. network cannot always know in advance when CHO command would become invalid)</w:t>
      </w:r>
      <w:r>
        <w:t xml:space="preserve">. For such eventualities, the target cell </w:t>
      </w:r>
      <w:proofErr w:type="gramStart"/>
      <w:r>
        <w:t>has to</w:t>
      </w:r>
      <w:proofErr w:type="gramEnd"/>
      <w:r>
        <w:t xml:space="preserve"> be able to request the source cell to revoke already-configured CHO command.</w:t>
      </w:r>
    </w:p>
    <w:p w14:paraId="7D22DACC" w14:textId="233C8660" w:rsidR="0096327D" w:rsidRDefault="0096327D" w:rsidP="002B0D15">
      <w:pPr>
        <w:jc w:val="both"/>
      </w:pPr>
      <w:r w:rsidRPr="0097431F">
        <w:rPr>
          <w:b/>
        </w:rPr>
        <w:t xml:space="preserve">Observation </w:t>
      </w:r>
      <w:r w:rsidR="00225397">
        <w:rPr>
          <w:b/>
        </w:rPr>
        <w:t>2</w:t>
      </w:r>
      <w:r w:rsidRPr="0097431F">
        <w:rPr>
          <w:b/>
        </w:rPr>
        <w:t>:</w:t>
      </w:r>
      <w:r>
        <w:t xml:space="preserve"> Target cell may decide to revoke previously assigned CHO command at any time, requiring source cell to explicitly deconfigure the CHO command.</w:t>
      </w:r>
    </w:p>
    <w:p w14:paraId="2FC585C0" w14:textId="181B1F94" w:rsidR="0092503A" w:rsidRDefault="00A536EF" w:rsidP="002B0D15">
      <w:pPr>
        <w:jc w:val="both"/>
      </w:pPr>
      <w:r>
        <w:t xml:space="preserve">At </w:t>
      </w:r>
      <w:r w:rsidRPr="00B920F0">
        <w:t>RAN2#105</w:t>
      </w:r>
      <w:r>
        <w:t xml:space="preserve"> it has been decided that source </w:t>
      </w:r>
      <w:proofErr w:type="spellStart"/>
      <w:r>
        <w:t>eNB</w:t>
      </w:r>
      <w:proofErr w:type="spellEnd"/>
      <w:r>
        <w:t xml:space="preserve"> remains responsible for RRC until the UE accesses the target </w:t>
      </w:r>
      <w:proofErr w:type="spellStart"/>
      <w:r>
        <w:t>eNB</w:t>
      </w:r>
      <w:proofErr w:type="spellEnd"/>
      <w:r>
        <w:t xml:space="preserve"> (i.e. sends </w:t>
      </w:r>
      <w:r w:rsidRPr="00A536EF">
        <w:t>RRC Connection Reconfiguration Complete</w:t>
      </w:r>
      <w:r w:rsidR="00DF5FAF">
        <w:t xml:space="preserve"> to the target </w:t>
      </w:r>
      <w:proofErr w:type="spellStart"/>
      <w:r w:rsidR="00DF5FAF">
        <w:t>eNB</w:t>
      </w:r>
      <w:proofErr w:type="spellEnd"/>
      <w:r>
        <w:t>), as per the agreement quoted above.</w:t>
      </w:r>
      <w:r w:rsidR="00DF5FAF">
        <w:t xml:space="preserve"> It implies the UE is still controlled by the source </w:t>
      </w:r>
      <w:proofErr w:type="spellStart"/>
      <w:r w:rsidR="00DF5FAF">
        <w:t>eNB</w:t>
      </w:r>
      <w:proofErr w:type="spellEnd"/>
      <w:r w:rsidR="00DF5FAF">
        <w:t xml:space="preserve">, </w:t>
      </w:r>
      <w:r w:rsidR="00762C93">
        <w:t>usually</w:t>
      </w:r>
      <w:r w:rsidR="00DF5FAF">
        <w:t xml:space="preserve"> long</w:t>
      </w:r>
      <w:r w:rsidR="00762C93">
        <w:t xml:space="preserve"> (compared to legacy HO)</w:t>
      </w:r>
      <w:r w:rsidR="00DF5FAF">
        <w:t xml:space="preserve"> after the </w:t>
      </w:r>
      <w:r w:rsidR="00762C93">
        <w:t>C</w:t>
      </w:r>
      <w:r w:rsidR="00DF5FAF">
        <w:t>HO command</w:t>
      </w:r>
      <w:r w:rsidR="00762C93">
        <w:t xml:space="preserve"> is received</w:t>
      </w:r>
      <w:r w:rsidR="00DF5FAF">
        <w:t xml:space="preserve"> (</w:t>
      </w:r>
      <w:r w:rsidR="00C55CB7">
        <w:t>comprising</w:t>
      </w:r>
      <w:r w:rsidR="00DF5FAF">
        <w:t xml:space="preserve"> the information about multiple candidate target cells).</w:t>
      </w:r>
      <w:r w:rsidR="00B37677">
        <w:t xml:space="preserve"> It would be against the legacy principles to state that the </w:t>
      </w:r>
      <w:proofErr w:type="spellStart"/>
      <w:r w:rsidR="00B37677">
        <w:t>eNB</w:t>
      </w:r>
      <w:proofErr w:type="spellEnd"/>
      <w:r w:rsidR="000D6122">
        <w:t>,</w:t>
      </w:r>
      <w:r w:rsidR="00B37677">
        <w:t xml:space="preserve"> </w:t>
      </w:r>
      <w:r w:rsidR="00C55CB7">
        <w:t xml:space="preserve">which is </w:t>
      </w:r>
      <w:r w:rsidR="00B37677">
        <w:t>currently serving the UE</w:t>
      </w:r>
      <w:r w:rsidR="000D6122">
        <w:t>,</w:t>
      </w:r>
      <w:r w:rsidR="00B37677">
        <w:t xml:space="preserve"> cannot send the RRC Connection Reconfiguration message comprising a new information about the candidate target cells</w:t>
      </w:r>
      <w:r w:rsidR="00C55CB7">
        <w:t xml:space="preserve"> (e.g. remove some previously configured candidates).</w:t>
      </w:r>
      <w:r w:rsidR="00B37677">
        <w:t xml:space="preserve"> </w:t>
      </w:r>
      <w:r w:rsidR="000D6122">
        <w:t xml:space="preserve">The NW can always send such message to the UE, either based on the received measurement report or due to any other reason (i.e. up to network implementation). </w:t>
      </w:r>
      <w:r w:rsidR="004912B2">
        <w:t>For example, there could be a need to do intra-cell handover</w:t>
      </w:r>
      <w:r w:rsidR="0097431F">
        <w:t>,</w:t>
      </w:r>
      <w:r w:rsidR="004912B2">
        <w:t xml:space="preserve"> e.g. because of security key refresh reasons, which could also prompt release of prepared CHO commands. </w:t>
      </w:r>
    </w:p>
    <w:p w14:paraId="2956C4AB" w14:textId="63FBCE2A" w:rsidR="00B37677" w:rsidRDefault="00B37677" w:rsidP="002B0D15">
      <w:pPr>
        <w:jc w:val="both"/>
      </w:pPr>
      <w:r>
        <w:rPr>
          <w:b/>
        </w:rPr>
        <w:t xml:space="preserve">Observation </w:t>
      </w:r>
      <w:r w:rsidR="00225397">
        <w:rPr>
          <w:b/>
        </w:rPr>
        <w:t>3</w:t>
      </w:r>
      <w:r>
        <w:rPr>
          <w:b/>
        </w:rPr>
        <w:t xml:space="preserve">: </w:t>
      </w:r>
      <w:r w:rsidR="00C55CB7">
        <w:t xml:space="preserve">The serving </w:t>
      </w:r>
      <w:proofErr w:type="spellStart"/>
      <w:r w:rsidR="00C55CB7">
        <w:t>eNB</w:t>
      </w:r>
      <w:proofErr w:type="spellEnd"/>
      <w:r w:rsidR="00C55CB7">
        <w:t xml:space="preserve"> can always send the RRC Connection Reconfiguration message to the UE</w:t>
      </w:r>
      <w:r w:rsidR="004912B2">
        <w:t xml:space="preserve"> to modify its current RRC configuration</w:t>
      </w:r>
      <w:r w:rsidR="00C55CB7">
        <w:t xml:space="preserve">. In </w:t>
      </w:r>
      <w:r w:rsidR="003E62B4">
        <w:t xml:space="preserve">E-UTRAN </w:t>
      </w:r>
      <w:r w:rsidR="00C55CB7">
        <w:t xml:space="preserve">CHO the source </w:t>
      </w:r>
      <w:proofErr w:type="spellStart"/>
      <w:r w:rsidR="00C55CB7">
        <w:t>eNB</w:t>
      </w:r>
      <w:proofErr w:type="spellEnd"/>
      <w:r w:rsidR="00C55CB7">
        <w:t xml:space="preserve"> remains responsible for RRC until the UE </w:t>
      </w:r>
      <w:r w:rsidR="00C55CB7" w:rsidRPr="00C55CB7">
        <w:t xml:space="preserve">successfully sends RRC Connection Reconfiguration Complete message to target </w:t>
      </w:r>
      <w:proofErr w:type="spellStart"/>
      <w:r w:rsidR="00C55CB7" w:rsidRPr="00C55CB7">
        <w:t>eNB</w:t>
      </w:r>
      <w:proofErr w:type="spellEnd"/>
      <w:r w:rsidR="00C55CB7">
        <w:t>.</w:t>
      </w:r>
      <w:r w:rsidR="000D6122">
        <w:t xml:space="preserve"> Thus, source </w:t>
      </w:r>
      <w:proofErr w:type="spellStart"/>
      <w:r w:rsidR="000D6122">
        <w:t>eNB</w:t>
      </w:r>
      <w:proofErr w:type="spellEnd"/>
      <w:r w:rsidR="000D6122">
        <w:t xml:space="preserve"> can reconfigure the UE upon the reception of CHO command, when the UE evaluates the CHO condition(s).</w:t>
      </w:r>
    </w:p>
    <w:p w14:paraId="5761D6B4" w14:textId="6EA9F9D1" w:rsidR="002B0D15" w:rsidRDefault="00824E72" w:rsidP="002B0D15">
      <w:pPr>
        <w:jc w:val="both"/>
      </w:pPr>
      <w:r>
        <w:t xml:space="preserve">It is critical for the </w:t>
      </w:r>
      <w:r w:rsidR="00017F0F">
        <w:t>network</w:t>
      </w:r>
      <w:r>
        <w:t xml:space="preserve"> to</w:t>
      </w:r>
      <w:r w:rsidR="00017F0F">
        <w:t xml:space="preserve"> have rapid and explicit means to</w:t>
      </w:r>
      <w:r>
        <w:t xml:space="preserve"> release the reserved resources, possibly in multiple</w:t>
      </w:r>
      <w:r w:rsidR="00017F0F">
        <w:t xml:space="preserve"> candidate</w:t>
      </w:r>
      <w:r>
        <w:t xml:space="preserve"> cells</w:t>
      </w:r>
      <w:r w:rsidR="00017F0F">
        <w:t>, when those become irrelevant for the UE</w:t>
      </w:r>
      <w:r>
        <w:t>.</w:t>
      </w:r>
      <w:r w:rsidR="00017F0F">
        <w:t xml:space="preserve"> At the same time, </w:t>
      </w:r>
      <w:proofErr w:type="spellStart"/>
      <w:r w:rsidR="00017F0F">
        <w:t>eNB</w:t>
      </w:r>
      <w:proofErr w:type="spellEnd"/>
      <w:r w:rsidR="00017F0F">
        <w:t xml:space="preserve"> needs to inform the UE that the previous preparation is not valid anymore. Such result cannot be obtained with the use of timer</w:t>
      </w:r>
      <w:r w:rsidR="00023BD0">
        <w:t xml:space="preserve">, </w:t>
      </w:r>
      <w:r w:rsidR="0097431F">
        <w:t>retaining</w:t>
      </w:r>
      <w:r w:rsidR="00023BD0">
        <w:t xml:space="preserve"> similar performance and reliability</w:t>
      </w:r>
      <w:r w:rsidR="00017F0F">
        <w:t>.</w:t>
      </w:r>
    </w:p>
    <w:p w14:paraId="5B622F10" w14:textId="4E21116D" w:rsidR="00824E72" w:rsidRPr="00023BD0" w:rsidRDefault="00824E72" w:rsidP="002B0D15">
      <w:pPr>
        <w:jc w:val="both"/>
      </w:pPr>
      <w:r>
        <w:rPr>
          <w:b/>
        </w:rPr>
        <w:t xml:space="preserve">Observation </w:t>
      </w:r>
      <w:r w:rsidR="00225397">
        <w:rPr>
          <w:b/>
        </w:rPr>
        <w:t>4</w:t>
      </w:r>
      <w:r>
        <w:rPr>
          <w:b/>
        </w:rPr>
        <w:t xml:space="preserve">: </w:t>
      </w:r>
      <w:r w:rsidR="00023BD0" w:rsidRPr="00023BD0">
        <w:t>The network needs to have means to rapidly and efficiently release the reserved resources in the irrelevant candidate target cells. This needs to be communicated both between the network nodes and to the UE.</w:t>
      </w:r>
    </w:p>
    <w:p w14:paraId="2F2430DC" w14:textId="2E658479" w:rsidR="00B37677" w:rsidRDefault="000D6122" w:rsidP="002B0D15">
      <w:pPr>
        <w:jc w:val="both"/>
      </w:pPr>
      <w:r>
        <w:t>The reasoning presented above</w:t>
      </w:r>
      <w:r w:rsidR="00023BD0">
        <w:t xml:space="preserve"> leads us directly to proposing the following:</w:t>
      </w:r>
    </w:p>
    <w:p w14:paraId="27F9E8CE" w14:textId="1C7662E6" w:rsidR="00CF5DD0" w:rsidRPr="007D075D" w:rsidRDefault="00CF5DD0" w:rsidP="00CF5DD0">
      <w:r>
        <w:rPr>
          <w:b/>
        </w:rPr>
        <w:t>Proposal</w:t>
      </w:r>
      <w:r w:rsidRPr="00B84DB2">
        <w:rPr>
          <w:b/>
        </w:rPr>
        <w:t xml:space="preserve"> 1:</w:t>
      </w:r>
      <w:r>
        <w:t xml:space="preserve"> </w:t>
      </w:r>
      <w:r w:rsidR="00023BD0" w:rsidRPr="00023BD0">
        <w:t xml:space="preserve">The source cell can </w:t>
      </w:r>
      <w:r w:rsidR="004912B2">
        <w:t xml:space="preserve">explicitly </w:t>
      </w:r>
      <w:r w:rsidR="00023BD0" w:rsidRPr="00023BD0">
        <w:t xml:space="preserve">release </w:t>
      </w:r>
      <w:r w:rsidR="004912B2">
        <w:t>any</w:t>
      </w:r>
      <w:r w:rsidR="004912B2" w:rsidRPr="00023BD0">
        <w:t xml:space="preserve"> </w:t>
      </w:r>
      <w:r w:rsidR="00023BD0" w:rsidRPr="00023BD0">
        <w:t xml:space="preserve">previously </w:t>
      </w:r>
      <w:r w:rsidR="004912B2">
        <w:t>configured</w:t>
      </w:r>
      <w:r w:rsidR="00023BD0" w:rsidRPr="00023BD0">
        <w:t xml:space="preserve"> </w:t>
      </w:r>
      <w:r w:rsidR="0097431F">
        <w:t xml:space="preserve">E-UTRAN </w:t>
      </w:r>
      <w:r w:rsidR="00023BD0" w:rsidRPr="00023BD0">
        <w:t>CHO command using RRC reconfiguration towards UE</w:t>
      </w:r>
      <w:r w:rsidR="00023BD0">
        <w:t>.</w:t>
      </w:r>
      <w:r>
        <w:t xml:space="preserve"> </w:t>
      </w:r>
    </w:p>
    <w:p w14:paraId="5FF0E443" w14:textId="7B500E1F" w:rsidR="00CD4C7B" w:rsidRPr="006E13D1" w:rsidRDefault="00CD4C7B" w:rsidP="00CD4C7B">
      <w:pPr>
        <w:pStyle w:val="Heading1"/>
      </w:pPr>
      <w:r w:rsidRPr="006E13D1">
        <w:t>3</w:t>
      </w:r>
      <w:r w:rsidRPr="006E13D1">
        <w:tab/>
      </w:r>
      <w:r w:rsidR="00075A5D">
        <w:t>Conclusions</w:t>
      </w:r>
    </w:p>
    <w:p w14:paraId="1D1266BB" w14:textId="6F3B0644" w:rsidR="000A7EA4" w:rsidRDefault="000F4DDE" w:rsidP="000A7EA4">
      <w:r>
        <w:t>This pape</w:t>
      </w:r>
      <w:r w:rsidR="000A7EA4">
        <w:t xml:space="preserve">r was aimed to </w:t>
      </w:r>
      <w:r w:rsidR="00D14B95">
        <w:t xml:space="preserve">discuss how the UE may be </w:t>
      </w:r>
      <w:proofErr w:type="spellStart"/>
      <w:r w:rsidR="00023BD0">
        <w:t>deconfigured</w:t>
      </w:r>
      <w:proofErr w:type="spellEnd"/>
      <w:r w:rsidR="00D14B95">
        <w:t xml:space="preserve"> in CHO</w:t>
      </w:r>
      <w:r w:rsidR="007356F4">
        <w:t xml:space="preserve"> condition evaluation phase</w:t>
      </w:r>
      <w:r w:rsidR="000A7EA4">
        <w:t xml:space="preserve">. </w:t>
      </w:r>
      <w:r w:rsidR="00D14B95">
        <w:t>T</w:t>
      </w:r>
      <w:r w:rsidR="000A7EA4">
        <w:t xml:space="preserve">he following </w:t>
      </w:r>
      <w:r w:rsidR="00D14B95">
        <w:t>has been observed and</w:t>
      </w:r>
      <w:r w:rsidR="000A7EA4">
        <w:t xml:space="preserve"> proposed:</w:t>
      </w:r>
    </w:p>
    <w:p w14:paraId="7E5EA134" w14:textId="77777777" w:rsidR="00023BD0" w:rsidRDefault="00023BD0" w:rsidP="00023BD0">
      <w:pPr>
        <w:jc w:val="both"/>
      </w:pPr>
      <w:r>
        <w:rPr>
          <w:b/>
        </w:rPr>
        <w:t xml:space="preserve">Observation 1: </w:t>
      </w:r>
      <w:r w:rsidRPr="00B37677">
        <w:t>As E-UTRAN CHO supports multiple candidate target cells, it is likely one or multiple of the prepared candidate cells become irrelevant for accessing while the UE is still in the source cell.</w:t>
      </w:r>
      <w:r>
        <w:rPr>
          <w:b/>
        </w:rPr>
        <w:t xml:space="preserve"> </w:t>
      </w:r>
    </w:p>
    <w:p w14:paraId="46067CDF" w14:textId="3552A945" w:rsidR="004912B2" w:rsidRDefault="004912B2" w:rsidP="004912B2">
      <w:pPr>
        <w:jc w:val="both"/>
      </w:pPr>
      <w:r w:rsidRPr="00276B78">
        <w:rPr>
          <w:b/>
        </w:rPr>
        <w:t xml:space="preserve">Observation </w:t>
      </w:r>
      <w:r w:rsidR="00225397">
        <w:rPr>
          <w:b/>
        </w:rPr>
        <w:t>2</w:t>
      </w:r>
      <w:r w:rsidRPr="00276B78">
        <w:rPr>
          <w:b/>
        </w:rPr>
        <w:t>:</w:t>
      </w:r>
      <w:r>
        <w:t xml:space="preserve"> Target cell may decide to revoke previously assigned CHO command at any time, requiring source cell to explicitly deconfigure the CHO command.</w:t>
      </w:r>
    </w:p>
    <w:p w14:paraId="6EBD28E1" w14:textId="3F348BB7" w:rsidR="00023BD0" w:rsidRDefault="00023BD0" w:rsidP="00023BD0">
      <w:pPr>
        <w:jc w:val="both"/>
      </w:pPr>
      <w:r>
        <w:rPr>
          <w:b/>
        </w:rPr>
        <w:t xml:space="preserve">Observation </w:t>
      </w:r>
      <w:r w:rsidR="00225397">
        <w:rPr>
          <w:b/>
        </w:rPr>
        <w:t>3</w:t>
      </w:r>
      <w:r>
        <w:rPr>
          <w:b/>
        </w:rPr>
        <w:t xml:space="preserve">: </w:t>
      </w:r>
      <w:r>
        <w:t xml:space="preserve">The serving </w:t>
      </w:r>
      <w:proofErr w:type="spellStart"/>
      <w:r>
        <w:t>eNB</w:t>
      </w:r>
      <w:proofErr w:type="spellEnd"/>
      <w:r>
        <w:t xml:space="preserve"> can always send the RRC Connection Reconfiguration message to the UE. In </w:t>
      </w:r>
      <w:r w:rsidR="003E62B4">
        <w:t xml:space="preserve">E-UTRAN </w:t>
      </w:r>
      <w:r>
        <w:t xml:space="preserve">CHO the source </w:t>
      </w:r>
      <w:proofErr w:type="spellStart"/>
      <w:r>
        <w:t>eNB</w:t>
      </w:r>
      <w:proofErr w:type="spellEnd"/>
      <w:r>
        <w:t xml:space="preserve"> remains responsible for RRC until the UE </w:t>
      </w:r>
      <w:r w:rsidRPr="00C55CB7">
        <w:t xml:space="preserve">successfully sends RRC Connection Reconfiguration Complete message to target </w:t>
      </w:r>
      <w:proofErr w:type="spellStart"/>
      <w:r w:rsidRPr="00C55CB7">
        <w:t>eNB</w:t>
      </w:r>
      <w:proofErr w:type="spellEnd"/>
      <w:r>
        <w:t xml:space="preserve">. Thus, source </w:t>
      </w:r>
      <w:proofErr w:type="spellStart"/>
      <w:r>
        <w:t>eNB</w:t>
      </w:r>
      <w:proofErr w:type="spellEnd"/>
      <w:r>
        <w:t xml:space="preserve"> can reconfigure the UE upon the reception of CHO command, when the UE evaluates the CHO condition(s).</w:t>
      </w:r>
    </w:p>
    <w:p w14:paraId="400CC91E" w14:textId="5DE0C88A" w:rsidR="00D14B95" w:rsidRPr="00D14B95" w:rsidRDefault="00023BD0" w:rsidP="00023BD0">
      <w:pPr>
        <w:jc w:val="both"/>
      </w:pPr>
      <w:r>
        <w:rPr>
          <w:b/>
        </w:rPr>
        <w:t xml:space="preserve">Observation </w:t>
      </w:r>
      <w:r w:rsidR="00225397">
        <w:rPr>
          <w:b/>
        </w:rPr>
        <w:t>4</w:t>
      </w:r>
      <w:r>
        <w:rPr>
          <w:b/>
        </w:rPr>
        <w:t xml:space="preserve">: </w:t>
      </w:r>
      <w:r w:rsidRPr="00023BD0">
        <w:t>The network needs to have means to rapidly and efficiently release the reserved resources in the irrelevant candidate target cells. This needs to be communicated both between the network nodes and to the UE.</w:t>
      </w:r>
    </w:p>
    <w:p w14:paraId="48C68C30" w14:textId="72E7B097" w:rsidR="004912B2" w:rsidRDefault="004912B2" w:rsidP="004912B2">
      <w:r>
        <w:rPr>
          <w:b/>
        </w:rPr>
        <w:t>Proposal</w:t>
      </w:r>
      <w:r w:rsidRPr="00B84DB2">
        <w:rPr>
          <w:b/>
        </w:rPr>
        <w:t xml:space="preserve"> 1:</w:t>
      </w:r>
      <w:r>
        <w:t xml:space="preserve"> </w:t>
      </w:r>
      <w:r w:rsidRPr="00023BD0">
        <w:t xml:space="preserve">The source cell can </w:t>
      </w:r>
      <w:r>
        <w:t xml:space="preserve">explicitly </w:t>
      </w:r>
      <w:r w:rsidRPr="00023BD0">
        <w:t xml:space="preserve">release </w:t>
      </w:r>
      <w:r>
        <w:t>any</w:t>
      </w:r>
      <w:r w:rsidRPr="00023BD0">
        <w:t xml:space="preserve"> previously </w:t>
      </w:r>
      <w:r>
        <w:t>configured</w:t>
      </w:r>
      <w:r w:rsidRPr="00023BD0">
        <w:t xml:space="preserve"> </w:t>
      </w:r>
      <w:r w:rsidR="0097431F">
        <w:t xml:space="preserve">E-UTRAN </w:t>
      </w:r>
      <w:r w:rsidRPr="00023BD0">
        <w:t>CHO command using RRC reconfiguration towards UE</w:t>
      </w:r>
      <w:r>
        <w:t xml:space="preserve">. </w:t>
      </w:r>
    </w:p>
    <w:p w14:paraId="3D6E90D5" w14:textId="55B71E82" w:rsidR="000F4075" w:rsidRDefault="000F4075" w:rsidP="004912B2"/>
    <w:p w14:paraId="6D1A46FA" w14:textId="77777777" w:rsidR="000F4075" w:rsidRPr="006E13D1" w:rsidRDefault="000F4075" w:rsidP="004912B2"/>
    <w:p w14:paraId="43A12B72" w14:textId="06C5802D" w:rsidR="00CD4C7B" w:rsidRPr="006E13D1" w:rsidRDefault="00D7515A" w:rsidP="00CD4C7B">
      <w:pPr>
        <w:pStyle w:val="Heading1"/>
      </w:pPr>
      <w:r>
        <w:lastRenderedPageBreak/>
        <w:t>References</w:t>
      </w:r>
    </w:p>
    <w:p w14:paraId="190D277D" w14:textId="3CDE09F9" w:rsidR="00B92C45" w:rsidRDefault="00563573" w:rsidP="00EA511B">
      <w:pPr>
        <w:numPr>
          <w:ilvl w:val="0"/>
          <w:numId w:val="4"/>
        </w:numPr>
        <w:overflowPunct w:val="0"/>
        <w:autoSpaceDE w:val="0"/>
        <w:autoSpaceDN w:val="0"/>
        <w:adjustRightInd w:val="0"/>
        <w:textAlignment w:val="baseline"/>
      </w:pPr>
      <w:bookmarkStart w:id="1" w:name="_Ref3292659"/>
      <w:bookmarkStart w:id="2" w:name="_Ref535824419"/>
      <w:bookmarkStart w:id="3" w:name="_Ref75086397"/>
      <w:bookmarkStart w:id="4" w:name="_Ref874297"/>
      <w:bookmarkStart w:id="5" w:name="_Ref525555002"/>
      <w:r>
        <w:t xml:space="preserve">R2-1903001 </w:t>
      </w:r>
      <w:r w:rsidRPr="000B3A29">
        <w:rPr>
          <w:i/>
        </w:rPr>
        <w:t>RAN2#105 Meeting Report</w:t>
      </w:r>
      <w:bookmarkEnd w:id="1"/>
    </w:p>
    <w:p w14:paraId="6B177B90" w14:textId="6D8B4381" w:rsidR="009647C1" w:rsidRDefault="009647C1" w:rsidP="009647C1">
      <w:pPr>
        <w:numPr>
          <w:ilvl w:val="0"/>
          <w:numId w:val="4"/>
        </w:numPr>
        <w:overflowPunct w:val="0"/>
        <w:autoSpaceDE w:val="0"/>
        <w:autoSpaceDN w:val="0"/>
        <w:adjustRightInd w:val="0"/>
        <w:textAlignment w:val="baseline"/>
      </w:pPr>
      <w:bookmarkStart w:id="6" w:name="_Ref3292762"/>
      <w:bookmarkEnd w:id="2"/>
      <w:bookmarkEnd w:id="3"/>
      <w:bookmarkEnd w:id="4"/>
      <w:bookmarkEnd w:id="5"/>
      <w:r w:rsidRPr="00924DBD">
        <w:t>R2-190</w:t>
      </w:r>
      <w:r>
        <w:t>2521</w:t>
      </w:r>
      <w:r w:rsidRPr="006E13D1">
        <w:t xml:space="preserve"> </w:t>
      </w:r>
      <w:r w:rsidRPr="009647C1">
        <w:rPr>
          <w:i/>
        </w:rPr>
        <w:t xml:space="preserve">Report from [Offline-801] Basics of Conditional HO </w:t>
      </w:r>
      <w:r>
        <w:t>– 3GPP TSG-RAN WG2 Meeting #105 Athens, Greece, 25 Feb - 01 Mar 2019</w:t>
      </w:r>
      <w:bookmarkEnd w:id="6"/>
    </w:p>
    <w:p w14:paraId="199D4275" w14:textId="33223F9B" w:rsidR="009647C1" w:rsidRPr="00CD4C7B" w:rsidRDefault="008B33A8" w:rsidP="008B33A8">
      <w:pPr>
        <w:numPr>
          <w:ilvl w:val="0"/>
          <w:numId w:val="4"/>
        </w:numPr>
        <w:overflowPunct w:val="0"/>
        <w:autoSpaceDE w:val="0"/>
        <w:autoSpaceDN w:val="0"/>
        <w:adjustRightInd w:val="0"/>
        <w:textAlignment w:val="baseline"/>
      </w:pPr>
      <w:bookmarkStart w:id="7" w:name="_Ref3293143"/>
      <w:r w:rsidRPr="00924DBD">
        <w:t>R2-190</w:t>
      </w:r>
      <w:r>
        <w:t>2254</w:t>
      </w:r>
      <w:r w:rsidRPr="006E13D1">
        <w:t xml:space="preserve"> </w:t>
      </w:r>
      <w:r>
        <w:rPr>
          <w:i/>
        </w:rPr>
        <w:t>Basic</w:t>
      </w:r>
      <w:r w:rsidRPr="00C76B2B">
        <w:rPr>
          <w:i/>
        </w:rPr>
        <w:t xml:space="preserve"> details on Conditional Handover in E-UTRAN</w:t>
      </w:r>
      <w:r>
        <w:t xml:space="preserve"> – 3GPP TSG-RAN WG2 Meeting #105 Athens, Greece, 25 Feb - 01 Mar 2019</w:t>
      </w:r>
      <w:bookmarkEnd w:id="7"/>
    </w:p>
    <w:sectPr w:rsidR="009647C1" w:rsidRPr="00CD4C7B" w:rsidSect="00A3260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08B23" w14:textId="77777777" w:rsidR="007318CC" w:rsidRDefault="007318CC">
      <w:r>
        <w:separator/>
      </w:r>
    </w:p>
  </w:endnote>
  <w:endnote w:type="continuationSeparator" w:id="0">
    <w:p w14:paraId="447601B5" w14:textId="77777777" w:rsidR="007318CC" w:rsidRDefault="007318CC">
      <w:r>
        <w:continuationSeparator/>
      </w:r>
    </w:p>
  </w:endnote>
  <w:endnote w:type="continuationNotice" w:id="1">
    <w:p w14:paraId="06EE8C4A" w14:textId="77777777" w:rsidR="007318CC" w:rsidRDefault="007318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1908F" w14:textId="77777777" w:rsidR="007318CC" w:rsidRDefault="007318CC">
      <w:r>
        <w:separator/>
      </w:r>
    </w:p>
  </w:footnote>
  <w:footnote w:type="continuationSeparator" w:id="0">
    <w:p w14:paraId="06E007C9" w14:textId="77777777" w:rsidR="007318CC" w:rsidRDefault="007318CC">
      <w:r>
        <w:continuationSeparator/>
      </w:r>
    </w:p>
  </w:footnote>
  <w:footnote w:type="continuationNotice" w:id="1">
    <w:p w14:paraId="59242039" w14:textId="77777777" w:rsidR="007318CC" w:rsidRDefault="007318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33516"/>
    <w:multiLevelType w:val="hybridMultilevel"/>
    <w:tmpl w:val="80F81AEC"/>
    <w:lvl w:ilvl="0" w:tplc="B27E3DA8">
      <w:start w:val="2"/>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90C0E38"/>
    <w:multiLevelType w:val="hybridMultilevel"/>
    <w:tmpl w:val="24C6086C"/>
    <w:lvl w:ilvl="0" w:tplc="E82C91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AB095E"/>
    <w:multiLevelType w:val="hybridMultilevel"/>
    <w:tmpl w:val="F224D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60E7509E"/>
    <w:multiLevelType w:val="hybridMultilevel"/>
    <w:tmpl w:val="ACA272B0"/>
    <w:lvl w:ilvl="0" w:tplc="B27E3DA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4"/>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952"/>
    <w:rsid w:val="00012AC1"/>
    <w:rsid w:val="000152C3"/>
    <w:rsid w:val="00017F0F"/>
    <w:rsid w:val="00023BD0"/>
    <w:rsid w:val="0003207A"/>
    <w:rsid w:val="00033397"/>
    <w:rsid w:val="00040095"/>
    <w:rsid w:val="00041BAF"/>
    <w:rsid w:val="00045605"/>
    <w:rsid w:val="00050D3A"/>
    <w:rsid w:val="00070037"/>
    <w:rsid w:val="00075A5D"/>
    <w:rsid w:val="00080512"/>
    <w:rsid w:val="00090468"/>
    <w:rsid w:val="00091F1B"/>
    <w:rsid w:val="00094E09"/>
    <w:rsid w:val="000A48AC"/>
    <w:rsid w:val="000A6DD7"/>
    <w:rsid w:val="000A7EA4"/>
    <w:rsid w:val="000B0FFC"/>
    <w:rsid w:val="000B3A29"/>
    <w:rsid w:val="000B7BCF"/>
    <w:rsid w:val="000C2DDF"/>
    <w:rsid w:val="000C455F"/>
    <w:rsid w:val="000C522B"/>
    <w:rsid w:val="000C59CA"/>
    <w:rsid w:val="000C6B45"/>
    <w:rsid w:val="000D58AB"/>
    <w:rsid w:val="000D6122"/>
    <w:rsid w:val="000F4075"/>
    <w:rsid w:val="000F4DDE"/>
    <w:rsid w:val="000F52B4"/>
    <w:rsid w:val="000F7C31"/>
    <w:rsid w:val="00101598"/>
    <w:rsid w:val="00101A99"/>
    <w:rsid w:val="00102E6C"/>
    <w:rsid w:val="00107761"/>
    <w:rsid w:val="00112F1A"/>
    <w:rsid w:val="0011365A"/>
    <w:rsid w:val="00131A8C"/>
    <w:rsid w:val="00145075"/>
    <w:rsid w:val="00150B49"/>
    <w:rsid w:val="00154A52"/>
    <w:rsid w:val="001741A0"/>
    <w:rsid w:val="00175FA0"/>
    <w:rsid w:val="00194CD0"/>
    <w:rsid w:val="001A039B"/>
    <w:rsid w:val="001A3269"/>
    <w:rsid w:val="001A3BB8"/>
    <w:rsid w:val="001B1730"/>
    <w:rsid w:val="001B49C9"/>
    <w:rsid w:val="001C24D9"/>
    <w:rsid w:val="001C31BA"/>
    <w:rsid w:val="001C377E"/>
    <w:rsid w:val="001C489A"/>
    <w:rsid w:val="001C4F79"/>
    <w:rsid w:val="001D58EA"/>
    <w:rsid w:val="001D7071"/>
    <w:rsid w:val="001F168B"/>
    <w:rsid w:val="001F21C3"/>
    <w:rsid w:val="001F659B"/>
    <w:rsid w:val="001F7831"/>
    <w:rsid w:val="00201446"/>
    <w:rsid w:val="00201505"/>
    <w:rsid w:val="00203CD4"/>
    <w:rsid w:val="00204045"/>
    <w:rsid w:val="0020712B"/>
    <w:rsid w:val="002115D8"/>
    <w:rsid w:val="00212A5D"/>
    <w:rsid w:val="00213255"/>
    <w:rsid w:val="00225397"/>
    <w:rsid w:val="0022606D"/>
    <w:rsid w:val="002277A4"/>
    <w:rsid w:val="00230287"/>
    <w:rsid w:val="00231728"/>
    <w:rsid w:val="002457AE"/>
    <w:rsid w:val="0025589C"/>
    <w:rsid w:val="00260BF6"/>
    <w:rsid w:val="002610D8"/>
    <w:rsid w:val="00270F9D"/>
    <w:rsid w:val="002747EC"/>
    <w:rsid w:val="002855BF"/>
    <w:rsid w:val="002A32EE"/>
    <w:rsid w:val="002B0D15"/>
    <w:rsid w:val="002B680A"/>
    <w:rsid w:val="002C1A54"/>
    <w:rsid w:val="002D1DF2"/>
    <w:rsid w:val="002E5A39"/>
    <w:rsid w:val="002F0D22"/>
    <w:rsid w:val="002F226E"/>
    <w:rsid w:val="00300676"/>
    <w:rsid w:val="003011BD"/>
    <w:rsid w:val="003125A1"/>
    <w:rsid w:val="003172DC"/>
    <w:rsid w:val="00322A83"/>
    <w:rsid w:val="00325AE3"/>
    <w:rsid w:val="00326069"/>
    <w:rsid w:val="00331548"/>
    <w:rsid w:val="00335BEC"/>
    <w:rsid w:val="00351AE2"/>
    <w:rsid w:val="00353BDD"/>
    <w:rsid w:val="0035462D"/>
    <w:rsid w:val="00356EF2"/>
    <w:rsid w:val="00364B41"/>
    <w:rsid w:val="00373F71"/>
    <w:rsid w:val="00374EB7"/>
    <w:rsid w:val="003761F5"/>
    <w:rsid w:val="003765F2"/>
    <w:rsid w:val="00380177"/>
    <w:rsid w:val="0039150C"/>
    <w:rsid w:val="003938EA"/>
    <w:rsid w:val="00394010"/>
    <w:rsid w:val="003A27B5"/>
    <w:rsid w:val="003A41EF"/>
    <w:rsid w:val="003A6649"/>
    <w:rsid w:val="003B40AD"/>
    <w:rsid w:val="003B4A84"/>
    <w:rsid w:val="003C2C1C"/>
    <w:rsid w:val="003C4E37"/>
    <w:rsid w:val="003E16BE"/>
    <w:rsid w:val="003E62B4"/>
    <w:rsid w:val="003F025A"/>
    <w:rsid w:val="003F4E28"/>
    <w:rsid w:val="003F5751"/>
    <w:rsid w:val="0040064B"/>
    <w:rsid w:val="004006E8"/>
    <w:rsid w:val="00400AF4"/>
    <w:rsid w:val="00401855"/>
    <w:rsid w:val="004117BE"/>
    <w:rsid w:val="004151F4"/>
    <w:rsid w:val="00416C69"/>
    <w:rsid w:val="00422758"/>
    <w:rsid w:val="00426815"/>
    <w:rsid w:val="004445F0"/>
    <w:rsid w:val="00451D70"/>
    <w:rsid w:val="00453C9B"/>
    <w:rsid w:val="00465587"/>
    <w:rsid w:val="00477455"/>
    <w:rsid w:val="00485BC4"/>
    <w:rsid w:val="00486304"/>
    <w:rsid w:val="004912B2"/>
    <w:rsid w:val="00491C5F"/>
    <w:rsid w:val="00493FA2"/>
    <w:rsid w:val="004A1F7B"/>
    <w:rsid w:val="004A259C"/>
    <w:rsid w:val="004A4991"/>
    <w:rsid w:val="004C3D42"/>
    <w:rsid w:val="004C44D2"/>
    <w:rsid w:val="004D3578"/>
    <w:rsid w:val="004D380D"/>
    <w:rsid w:val="004D6C90"/>
    <w:rsid w:val="004E213A"/>
    <w:rsid w:val="00503171"/>
    <w:rsid w:val="00506C28"/>
    <w:rsid w:val="00510ECE"/>
    <w:rsid w:val="005231AF"/>
    <w:rsid w:val="005314A8"/>
    <w:rsid w:val="005333C7"/>
    <w:rsid w:val="00534DA0"/>
    <w:rsid w:val="0054047C"/>
    <w:rsid w:val="00543E6C"/>
    <w:rsid w:val="00550AED"/>
    <w:rsid w:val="00551398"/>
    <w:rsid w:val="00553562"/>
    <w:rsid w:val="00562D09"/>
    <w:rsid w:val="00563573"/>
    <w:rsid w:val="00565087"/>
    <w:rsid w:val="0056573F"/>
    <w:rsid w:val="00567AD2"/>
    <w:rsid w:val="0057023F"/>
    <w:rsid w:val="005755F4"/>
    <w:rsid w:val="005852D6"/>
    <w:rsid w:val="00591145"/>
    <w:rsid w:val="0059126D"/>
    <w:rsid w:val="00597F54"/>
    <w:rsid w:val="005A145E"/>
    <w:rsid w:val="005A7042"/>
    <w:rsid w:val="005B5276"/>
    <w:rsid w:val="005C6049"/>
    <w:rsid w:val="005E2F81"/>
    <w:rsid w:val="005F5CF2"/>
    <w:rsid w:val="00611566"/>
    <w:rsid w:val="00630A69"/>
    <w:rsid w:val="0064354A"/>
    <w:rsid w:val="00646D99"/>
    <w:rsid w:val="00652829"/>
    <w:rsid w:val="00656910"/>
    <w:rsid w:val="006604AC"/>
    <w:rsid w:val="0067258F"/>
    <w:rsid w:val="006752AF"/>
    <w:rsid w:val="00680E5A"/>
    <w:rsid w:val="006A3479"/>
    <w:rsid w:val="006B3520"/>
    <w:rsid w:val="006C66D8"/>
    <w:rsid w:val="006D1E24"/>
    <w:rsid w:val="006D290D"/>
    <w:rsid w:val="006D3D44"/>
    <w:rsid w:val="006E1417"/>
    <w:rsid w:val="006E5560"/>
    <w:rsid w:val="006F0B74"/>
    <w:rsid w:val="006F0CD8"/>
    <w:rsid w:val="006F6A2C"/>
    <w:rsid w:val="006F7FA7"/>
    <w:rsid w:val="00703714"/>
    <w:rsid w:val="00710201"/>
    <w:rsid w:val="007139C1"/>
    <w:rsid w:val="007318CC"/>
    <w:rsid w:val="00731BD7"/>
    <w:rsid w:val="007342B5"/>
    <w:rsid w:val="00734A5B"/>
    <w:rsid w:val="007356F4"/>
    <w:rsid w:val="0074196E"/>
    <w:rsid w:val="00744E76"/>
    <w:rsid w:val="00756B61"/>
    <w:rsid w:val="00757D40"/>
    <w:rsid w:val="00762C93"/>
    <w:rsid w:val="00763EA4"/>
    <w:rsid w:val="0077371C"/>
    <w:rsid w:val="00781F0F"/>
    <w:rsid w:val="00785B42"/>
    <w:rsid w:val="0078727C"/>
    <w:rsid w:val="0079049D"/>
    <w:rsid w:val="00791136"/>
    <w:rsid w:val="00793DC5"/>
    <w:rsid w:val="00795D88"/>
    <w:rsid w:val="007B18D8"/>
    <w:rsid w:val="007C0862"/>
    <w:rsid w:val="007C095F"/>
    <w:rsid w:val="007C2DD0"/>
    <w:rsid w:val="007D075D"/>
    <w:rsid w:val="007D7055"/>
    <w:rsid w:val="007E13F8"/>
    <w:rsid w:val="007E762C"/>
    <w:rsid w:val="007F2B1A"/>
    <w:rsid w:val="008028A4"/>
    <w:rsid w:val="00803BED"/>
    <w:rsid w:val="00803E8A"/>
    <w:rsid w:val="00804166"/>
    <w:rsid w:val="00806665"/>
    <w:rsid w:val="00806B27"/>
    <w:rsid w:val="0081317E"/>
    <w:rsid w:val="00813245"/>
    <w:rsid w:val="008151AB"/>
    <w:rsid w:val="00820915"/>
    <w:rsid w:val="008222AC"/>
    <w:rsid w:val="00824E72"/>
    <w:rsid w:val="00847C83"/>
    <w:rsid w:val="00854936"/>
    <w:rsid w:val="0085684A"/>
    <w:rsid w:val="00856BED"/>
    <w:rsid w:val="0086478C"/>
    <w:rsid w:val="0086711A"/>
    <w:rsid w:val="0087135E"/>
    <w:rsid w:val="008725D8"/>
    <w:rsid w:val="008768CA"/>
    <w:rsid w:val="00877EF9"/>
    <w:rsid w:val="00880559"/>
    <w:rsid w:val="008A443F"/>
    <w:rsid w:val="008A5350"/>
    <w:rsid w:val="008A56F7"/>
    <w:rsid w:val="008B33A8"/>
    <w:rsid w:val="008B3764"/>
    <w:rsid w:val="008B5306"/>
    <w:rsid w:val="008B5824"/>
    <w:rsid w:val="008C0EDC"/>
    <w:rsid w:val="008D2E4D"/>
    <w:rsid w:val="008E342F"/>
    <w:rsid w:val="008E3EE8"/>
    <w:rsid w:val="008E5428"/>
    <w:rsid w:val="008F396F"/>
    <w:rsid w:val="008F4288"/>
    <w:rsid w:val="008F5816"/>
    <w:rsid w:val="0090271F"/>
    <w:rsid w:val="00902DB9"/>
    <w:rsid w:val="0090466A"/>
    <w:rsid w:val="00921FF6"/>
    <w:rsid w:val="0092503A"/>
    <w:rsid w:val="009264AB"/>
    <w:rsid w:val="00934596"/>
    <w:rsid w:val="00936071"/>
    <w:rsid w:val="00940212"/>
    <w:rsid w:val="00942EC2"/>
    <w:rsid w:val="009616B7"/>
    <w:rsid w:val="00961B32"/>
    <w:rsid w:val="00962509"/>
    <w:rsid w:val="0096327D"/>
    <w:rsid w:val="0096327F"/>
    <w:rsid w:val="009647C1"/>
    <w:rsid w:val="00970DB3"/>
    <w:rsid w:val="0097233D"/>
    <w:rsid w:val="0097431F"/>
    <w:rsid w:val="0097499C"/>
    <w:rsid w:val="00974BB0"/>
    <w:rsid w:val="009A0AF3"/>
    <w:rsid w:val="009B07CD"/>
    <w:rsid w:val="009B27F1"/>
    <w:rsid w:val="009C19E9"/>
    <w:rsid w:val="009D041C"/>
    <w:rsid w:val="009D74A6"/>
    <w:rsid w:val="009F6573"/>
    <w:rsid w:val="00A10F02"/>
    <w:rsid w:val="00A13AB3"/>
    <w:rsid w:val="00A204CA"/>
    <w:rsid w:val="00A22D8A"/>
    <w:rsid w:val="00A247BC"/>
    <w:rsid w:val="00A304C7"/>
    <w:rsid w:val="00A32602"/>
    <w:rsid w:val="00A35009"/>
    <w:rsid w:val="00A36EA2"/>
    <w:rsid w:val="00A536EF"/>
    <w:rsid w:val="00A53724"/>
    <w:rsid w:val="00A81A0B"/>
    <w:rsid w:val="00A82346"/>
    <w:rsid w:val="00A867F2"/>
    <w:rsid w:val="00A90723"/>
    <w:rsid w:val="00A9671C"/>
    <w:rsid w:val="00AA1553"/>
    <w:rsid w:val="00AA4FFA"/>
    <w:rsid w:val="00AB0147"/>
    <w:rsid w:val="00AB73F9"/>
    <w:rsid w:val="00AC37BA"/>
    <w:rsid w:val="00AC671B"/>
    <w:rsid w:val="00AE7FB9"/>
    <w:rsid w:val="00AF455B"/>
    <w:rsid w:val="00AF6CAA"/>
    <w:rsid w:val="00B00042"/>
    <w:rsid w:val="00B03C35"/>
    <w:rsid w:val="00B05380"/>
    <w:rsid w:val="00B05962"/>
    <w:rsid w:val="00B123DE"/>
    <w:rsid w:val="00B15449"/>
    <w:rsid w:val="00B21DCF"/>
    <w:rsid w:val="00B27303"/>
    <w:rsid w:val="00B305C4"/>
    <w:rsid w:val="00B310DD"/>
    <w:rsid w:val="00B324E9"/>
    <w:rsid w:val="00B37677"/>
    <w:rsid w:val="00B40349"/>
    <w:rsid w:val="00B47FD1"/>
    <w:rsid w:val="00B51190"/>
    <w:rsid w:val="00B516BB"/>
    <w:rsid w:val="00B722E9"/>
    <w:rsid w:val="00B75914"/>
    <w:rsid w:val="00B81EAF"/>
    <w:rsid w:val="00B8421F"/>
    <w:rsid w:val="00B84DB2"/>
    <w:rsid w:val="00B920F0"/>
    <w:rsid w:val="00B92C45"/>
    <w:rsid w:val="00B97293"/>
    <w:rsid w:val="00BA0F01"/>
    <w:rsid w:val="00BA5BBB"/>
    <w:rsid w:val="00BB7A96"/>
    <w:rsid w:val="00BC3555"/>
    <w:rsid w:val="00BD5015"/>
    <w:rsid w:val="00BD567F"/>
    <w:rsid w:val="00BE3BED"/>
    <w:rsid w:val="00BF497F"/>
    <w:rsid w:val="00C02406"/>
    <w:rsid w:val="00C02D1B"/>
    <w:rsid w:val="00C1015E"/>
    <w:rsid w:val="00C11076"/>
    <w:rsid w:val="00C1226C"/>
    <w:rsid w:val="00C12B51"/>
    <w:rsid w:val="00C13772"/>
    <w:rsid w:val="00C24650"/>
    <w:rsid w:val="00C24F28"/>
    <w:rsid w:val="00C25465"/>
    <w:rsid w:val="00C329AB"/>
    <w:rsid w:val="00C33079"/>
    <w:rsid w:val="00C374F1"/>
    <w:rsid w:val="00C55CB7"/>
    <w:rsid w:val="00C56659"/>
    <w:rsid w:val="00C624D6"/>
    <w:rsid w:val="00C8142D"/>
    <w:rsid w:val="00C83A13"/>
    <w:rsid w:val="00C9068C"/>
    <w:rsid w:val="00C90746"/>
    <w:rsid w:val="00C92967"/>
    <w:rsid w:val="00CA3D0C"/>
    <w:rsid w:val="00CA654B"/>
    <w:rsid w:val="00CB2EDD"/>
    <w:rsid w:val="00CB72B8"/>
    <w:rsid w:val="00CC3028"/>
    <w:rsid w:val="00CC63DC"/>
    <w:rsid w:val="00CD4C7B"/>
    <w:rsid w:val="00CD72F3"/>
    <w:rsid w:val="00CE2000"/>
    <w:rsid w:val="00CF5DD0"/>
    <w:rsid w:val="00D14B95"/>
    <w:rsid w:val="00D24BEB"/>
    <w:rsid w:val="00D33BE3"/>
    <w:rsid w:val="00D3792D"/>
    <w:rsid w:val="00D5112C"/>
    <w:rsid w:val="00D55E47"/>
    <w:rsid w:val="00D567C5"/>
    <w:rsid w:val="00D60E53"/>
    <w:rsid w:val="00D61B01"/>
    <w:rsid w:val="00D62E19"/>
    <w:rsid w:val="00D67CD1"/>
    <w:rsid w:val="00D72ADC"/>
    <w:rsid w:val="00D73654"/>
    <w:rsid w:val="00D738D6"/>
    <w:rsid w:val="00D7515A"/>
    <w:rsid w:val="00D80795"/>
    <w:rsid w:val="00D854BE"/>
    <w:rsid w:val="00D87E00"/>
    <w:rsid w:val="00D9134D"/>
    <w:rsid w:val="00D92379"/>
    <w:rsid w:val="00D9246E"/>
    <w:rsid w:val="00D96D11"/>
    <w:rsid w:val="00DA7A03"/>
    <w:rsid w:val="00DB0DB8"/>
    <w:rsid w:val="00DB1818"/>
    <w:rsid w:val="00DB5813"/>
    <w:rsid w:val="00DC309B"/>
    <w:rsid w:val="00DC4DA2"/>
    <w:rsid w:val="00DE7898"/>
    <w:rsid w:val="00DF5FAF"/>
    <w:rsid w:val="00E00F83"/>
    <w:rsid w:val="00E01A4D"/>
    <w:rsid w:val="00E060EF"/>
    <w:rsid w:val="00E06A60"/>
    <w:rsid w:val="00E13B80"/>
    <w:rsid w:val="00E17CA3"/>
    <w:rsid w:val="00E26512"/>
    <w:rsid w:val="00E412D1"/>
    <w:rsid w:val="00E46C08"/>
    <w:rsid w:val="00E471CF"/>
    <w:rsid w:val="00E558E0"/>
    <w:rsid w:val="00E62835"/>
    <w:rsid w:val="00E640EA"/>
    <w:rsid w:val="00E77645"/>
    <w:rsid w:val="00E82F53"/>
    <w:rsid w:val="00E83697"/>
    <w:rsid w:val="00E85512"/>
    <w:rsid w:val="00EA511B"/>
    <w:rsid w:val="00EA7750"/>
    <w:rsid w:val="00EB4E59"/>
    <w:rsid w:val="00EB7BEC"/>
    <w:rsid w:val="00EC4A25"/>
    <w:rsid w:val="00EE5ADC"/>
    <w:rsid w:val="00EF3267"/>
    <w:rsid w:val="00EF4256"/>
    <w:rsid w:val="00EF4DD7"/>
    <w:rsid w:val="00EF76E7"/>
    <w:rsid w:val="00F021E6"/>
    <w:rsid w:val="00F025A2"/>
    <w:rsid w:val="00F07388"/>
    <w:rsid w:val="00F10742"/>
    <w:rsid w:val="00F116C9"/>
    <w:rsid w:val="00F16377"/>
    <w:rsid w:val="00F2026E"/>
    <w:rsid w:val="00F2210A"/>
    <w:rsid w:val="00F22300"/>
    <w:rsid w:val="00F27F8F"/>
    <w:rsid w:val="00F37743"/>
    <w:rsid w:val="00F43B0E"/>
    <w:rsid w:val="00F52366"/>
    <w:rsid w:val="00F54809"/>
    <w:rsid w:val="00F54A3D"/>
    <w:rsid w:val="00F54CB0"/>
    <w:rsid w:val="00F61B5F"/>
    <w:rsid w:val="00F63791"/>
    <w:rsid w:val="00F653B8"/>
    <w:rsid w:val="00F71B89"/>
    <w:rsid w:val="00F7353C"/>
    <w:rsid w:val="00F7670C"/>
    <w:rsid w:val="00F76F8F"/>
    <w:rsid w:val="00F92252"/>
    <w:rsid w:val="00F941DF"/>
    <w:rsid w:val="00FA1266"/>
    <w:rsid w:val="00FA24D6"/>
    <w:rsid w:val="00FB36FA"/>
    <w:rsid w:val="00FB70F0"/>
    <w:rsid w:val="00FC1192"/>
    <w:rsid w:val="00FC5571"/>
    <w:rsid w:val="00FD06C8"/>
    <w:rsid w:val="00FE21A9"/>
    <w:rsid w:val="00FE251B"/>
    <w:rsid w:val="00FF04B5"/>
    <w:rsid w:val="610E5D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44DE5"/>
  <w15:docId w15:val="{F8B5665C-AB05-4051-B027-289CDA02D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A81A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515A"/>
    <w:pPr>
      <w:ind w:left="720"/>
      <w:contextualSpacing/>
    </w:pPr>
  </w:style>
  <w:style w:type="character" w:styleId="CommentReference">
    <w:name w:val="annotation reference"/>
    <w:basedOn w:val="DefaultParagraphFont"/>
    <w:rsid w:val="00A304C7"/>
    <w:rPr>
      <w:sz w:val="16"/>
      <w:szCs w:val="16"/>
    </w:rPr>
  </w:style>
  <w:style w:type="paragraph" w:styleId="CommentText">
    <w:name w:val="annotation text"/>
    <w:basedOn w:val="Normal"/>
    <w:link w:val="CommentTextChar"/>
    <w:rsid w:val="00A304C7"/>
  </w:style>
  <w:style w:type="character" w:customStyle="1" w:styleId="CommentTextChar">
    <w:name w:val="Comment Text Char"/>
    <w:basedOn w:val="DefaultParagraphFont"/>
    <w:link w:val="CommentText"/>
    <w:rsid w:val="00A304C7"/>
    <w:rPr>
      <w:lang w:eastAsia="en-US"/>
    </w:rPr>
  </w:style>
  <w:style w:type="paragraph" w:styleId="CommentSubject">
    <w:name w:val="annotation subject"/>
    <w:basedOn w:val="CommentText"/>
    <w:next w:val="CommentText"/>
    <w:link w:val="CommentSubjectChar"/>
    <w:rsid w:val="00A304C7"/>
    <w:rPr>
      <w:b/>
      <w:bCs/>
    </w:rPr>
  </w:style>
  <w:style w:type="character" w:customStyle="1" w:styleId="CommentSubjectChar">
    <w:name w:val="Comment Subject Char"/>
    <w:basedOn w:val="CommentTextChar"/>
    <w:link w:val="CommentSubject"/>
    <w:rsid w:val="00A304C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5AIRPNAIUNRU-859666464-4955</_dlc_DocId>
    <_dlc_DocIdUrl xmlns="71c5aaf6-e6ce-465b-b873-5148d2a4c105">
      <Url>https://nokia.sharepoint.com/sites/c5g/e2earch/_layouts/15/DocIdRedir.aspx?ID=5AIRPNAIUNRU-859666464-4955</Url>
      <Description>5AIRPNAIUNRU-859666464-4955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5FAD80DB-8DA0-4094-9FC6-AFE420B7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3</Pages>
  <Words>1122</Words>
  <Characters>6399</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 Siemens Networks</Company>
  <LinksUpToDate>false</LinksUpToDate>
  <CharactersWithSpaces>7506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Nokia</cp:lastModifiedBy>
  <cp:revision>8</cp:revision>
  <dcterms:created xsi:type="dcterms:W3CDTF">2019-03-25T14:08:00Z</dcterms:created>
  <dcterms:modified xsi:type="dcterms:W3CDTF">2019-03-28T16:11:00Z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CEE58C90B2C71A0E5153CE66F2D0610242794279F07CB4DBAD89309EF4E80860</vt:lpwstr>
  </property>
  <property fmtid="{D5CDD505-2E9C-101B-9397-08002B2CF9AE}" pid="2" name="ContentTypeId">
    <vt:lpwstr>0x01010054371E7EC0F13943B87F9D9F2BE005B3</vt:lpwstr>
  </property>
  <property fmtid="{D5CDD505-2E9C-101B-9397-08002B2CF9AE}" pid="3" name="_dlc_DocIdItemGuid">
    <vt:lpwstr>cdd60ea5-68d0-41ca-a95d-9a1b093dbd69</vt:lpwstr>
  </property>
  <property fmtid="{D5CDD505-2E9C-101B-9397-08002B2CF9AE}" pid="4" name="_NewReviewCycle">
    <vt:lpwstr/>
  </property>
  <property fmtid="{D5CDD505-2E9C-101B-9397-08002B2CF9AE}" pid="5" name="_2015_ms_pID_725343">
    <vt:lpwstr>(2)A4/kTUGugOqy5ACu4qrVYIcCW7m3cRh32vDVGA9SGBu99KEx70w3aB5c7/b/eulhuCiMS97i
ibsO0dlOCX1ZVOmm2Zk7Nf5wrKHwxQ8qJ1m+3lXqD4gCFD8crQlP1XQT57+1WIRIhRphST5z
VnpHSE2zS+2dyzH1nU+jAyQAvTiTJfauMWrIB0LqIdZSAqKa1/OcKmIBfhF5ykPPgQbdagrq
ZTGiUuDALGh8kKIroB</vt:lpwstr>
  </property>
  <property fmtid="{D5CDD505-2E9C-101B-9397-08002B2CF9AE}" pid="6" name="_2015_ms_pID_7253431">
    <vt:lpwstr>fuTvIJhNtqKorEdbhphjg5Pnq1bklyqQNfLG6pNJdnJ7PdxCBslJ/W
s1NjKGFNP0/t5iciHAFfhiFBJUrrLC2l/2H0vgsszl3IAIugdo1AMgy0ze6bcaOHiqz7pSUC
CuiMCBc2dUF/T+Zzu+PXAv7SrY5ytOGDxw+lVWCQdVMhAPas+r9MuFbdsTaGbd1EnUxeFkt7
A+TaF0M/LkP2Eh3L</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1551283407</vt:lpwstr>
  </property>
  <property fmtid="{D5CDD505-2E9C-101B-9397-08002B2CF9AE}" pid="11" name="_AdHocReviewCycleID">
    <vt:i4>122707854</vt:i4>
  </property>
  <property fmtid="{D5CDD505-2E9C-101B-9397-08002B2CF9AE}" pid="12" name="_EmailSubject">
    <vt:lpwstr>[RAN2#105 Offline-801] Basics of Conditional HO</vt:lpwstr>
  </property>
  <property fmtid="{D5CDD505-2E9C-101B-9397-08002B2CF9AE}" pid="13" name="_AuthorEmail">
    <vt:lpwstr>pkadiri@qti.qualcomm.com</vt:lpwstr>
  </property>
  <property fmtid="{D5CDD505-2E9C-101B-9397-08002B2CF9AE}" pid="14" name="_AuthorEmailDisplayName">
    <vt:lpwstr>Prasad Kadiri</vt:lpwstr>
  </property>
  <property fmtid="{D5CDD505-2E9C-101B-9397-08002B2CF9AE}" pid="15" name="_ReviewingToolsShownOnce">
    <vt:lpwstr/>
  </property>
  <property fmtid="{D5CDD505-2E9C-101B-9397-08002B2CF9AE}" pid="16" name="NSCPROP_SA">
    <vt:lpwstr>C:\Users\Samsung\Desktop\황준\RAN2#105\3GPP RAN2#105 SYNC\offline 801 CHO\draftR2-1902521 Basics of Conditional HO_Huawei_OPPO_QC_Intel_ETRI_CATT_CHTR_vivo_NEC.docx</vt:lpwstr>
  </property>
</Properties>
</file>